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162D" w14:textId="77777777" w:rsidR="000D7BD5" w:rsidRPr="000D7BD5" w:rsidRDefault="000D7BD5" w:rsidP="000D7BD5">
      <w:pPr>
        <w:pStyle w:val="20"/>
        <w:shd w:val="clear" w:color="auto" w:fill="auto"/>
        <w:spacing w:line="360" w:lineRule="auto"/>
        <w:ind w:left="20" w:right="40"/>
        <w:rPr>
          <w:rFonts w:ascii="Times New Roman" w:eastAsia="Times New Roman" w:hAnsi="Times New Roman" w:cs="Times New Roman"/>
          <w:b/>
          <w:bCs/>
        </w:rPr>
      </w:pPr>
      <w:r w:rsidRPr="000D7BD5">
        <w:rPr>
          <w:rFonts w:ascii="Times New Roman" w:eastAsia="Times New Roman" w:hAnsi="Times New Roman" w:cs="Times New Roman"/>
          <w:b/>
          <w:bCs/>
        </w:rPr>
        <w:t>ԳՐԱՎՈՐ ՔՆՆՈՒԹՅԱՆ ԱՌԱՋԱԴՐԱՆՔՆԵՐԻ ՆՄՈՒՇ-ՕՐԻՆԱԿ</w:t>
      </w:r>
    </w:p>
    <w:p w14:paraId="68BB01A0" w14:textId="7DF0E702" w:rsidR="000D7BD5" w:rsidRPr="000D7BD5" w:rsidRDefault="000D7BD5" w:rsidP="000D7BD5">
      <w:pPr>
        <w:pStyle w:val="20"/>
        <w:shd w:val="clear" w:color="auto" w:fill="auto"/>
        <w:spacing w:line="360" w:lineRule="auto"/>
        <w:ind w:left="20" w:right="40"/>
        <w:rPr>
          <w:rFonts w:ascii="Times New Roman" w:eastAsia="Times New Roman" w:hAnsi="Times New Roman" w:cs="Times New Roman"/>
          <w:b/>
          <w:bCs/>
        </w:rPr>
      </w:pPr>
      <w:r w:rsidRPr="000D7BD5">
        <w:rPr>
          <w:rFonts w:ascii="Times New Roman" w:eastAsia="Times New Roman" w:hAnsi="Times New Roman" w:cs="Times New Roman"/>
          <w:b/>
          <w:bCs/>
        </w:rPr>
        <w:t xml:space="preserve"> (Քրեական և քրեական դատավարություն)</w:t>
      </w:r>
    </w:p>
    <w:p w14:paraId="693A40FF" w14:textId="2B08B535" w:rsidR="000D7BD5" w:rsidRPr="000D7BD5" w:rsidRDefault="00832025" w:rsidP="000D7BD5">
      <w:pPr>
        <w:pStyle w:val="a0"/>
        <w:shd w:val="clear" w:color="auto" w:fill="auto"/>
        <w:spacing w:after="0" w:line="360" w:lineRule="auto"/>
        <w:ind w:left="20" w:right="20"/>
        <w:rPr>
          <w:rFonts w:ascii="Sylfaen" w:hAnsi="Sylfaen"/>
          <w:sz w:val="22"/>
          <w:szCs w:val="22"/>
        </w:rPr>
      </w:pPr>
      <w:r w:rsidRPr="00832025">
        <w:rPr>
          <w:b/>
          <w:bCs/>
          <w:sz w:val="22"/>
          <w:szCs w:val="22"/>
          <w:lang w:val="hy-AM"/>
        </w:rPr>
        <w:t>1․</w:t>
      </w:r>
      <w:r>
        <w:rPr>
          <w:sz w:val="22"/>
          <w:szCs w:val="22"/>
          <w:lang w:val="hy-AM"/>
        </w:rPr>
        <w:t xml:space="preserve"> </w:t>
      </w:r>
      <w:r w:rsidR="000D7BD5" w:rsidRPr="000D7BD5">
        <w:rPr>
          <w:sz w:val="22"/>
          <w:szCs w:val="22"/>
        </w:rPr>
        <w:t>Դատախազը</w:t>
      </w:r>
      <w:r w:rsidR="000D7BD5" w:rsidRPr="000D7BD5">
        <w:rPr>
          <w:rFonts w:ascii="Times Armenian" w:hAnsi="Times Armenian"/>
          <w:sz w:val="22"/>
          <w:szCs w:val="22"/>
        </w:rPr>
        <w:t xml:space="preserve">, </w:t>
      </w:r>
      <w:r w:rsidR="000D7BD5" w:rsidRPr="000D7BD5">
        <w:rPr>
          <w:sz w:val="22"/>
          <w:szCs w:val="22"/>
        </w:rPr>
        <w:t>հիմք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ընդունելով</w:t>
      </w:r>
      <w:r w:rsidR="000D7BD5" w:rsidRPr="000D7BD5">
        <w:rPr>
          <w:rFonts w:ascii="Times Armenian" w:hAnsi="Times Armenian"/>
          <w:sz w:val="22"/>
          <w:szCs w:val="22"/>
        </w:rPr>
        <w:t xml:space="preserve">, </w:t>
      </w:r>
      <w:r w:rsidR="000D7BD5" w:rsidRPr="000D7BD5">
        <w:rPr>
          <w:sz w:val="22"/>
          <w:szCs w:val="22"/>
        </w:rPr>
        <w:t>որ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դատավորը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քննության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առնելով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քրեական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գործով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վարույթը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կարճելու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և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քրեական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հետապնդումը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դադարեցնելու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մասին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քննիչի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որոշման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դեմ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տուժողի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բողոքը</w:t>
      </w:r>
      <w:r w:rsidR="000D7BD5" w:rsidRPr="000D7BD5">
        <w:rPr>
          <w:rFonts w:ascii="Times Armenian" w:hAnsi="Times Armenian"/>
          <w:sz w:val="22"/>
          <w:szCs w:val="22"/>
        </w:rPr>
        <w:t xml:space="preserve">, </w:t>
      </w:r>
      <w:r w:rsidR="000D7BD5" w:rsidRPr="000D7BD5">
        <w:rPr>
          <w:sz w:val="22"/>
          <w:szCs w:val="22"/>
        </w:rPr>
        <w:t>այն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բավարարել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է՝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արձանագրելով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տուժողի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իրավունքների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և օրինական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շահերի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խախտումներ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և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պարտականություն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սահմանել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վերացնելու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դրանք</w:t>
      </w:r>
      <w:r w:rsidR="000D7BD5" w:rsidRPr="000D7BD5">
        <w:rPr>
          <w:rFonts w:ascii="Times Armenian" w:hAnsi="Times Armenian"/>
          <w:sz w:val="22"/>
          <w:szCs w:val="22"/>
        </w:rPr>
        <w:t xml:space="preserve">, </w:t>
      </w:r>
      <w:r w:rsidR="000D7BD5" w:rsidRPr="000D7BD5">
        <w:rPr>
          <w:sz w:val="22"/>
          <w:szCs w:val="22"/>
        </w:rPr>
        <w:t>գործի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դատական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քննության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փուլում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միջնորդություն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է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ներկայացնում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նախագահող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դատավորին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ինքնաբացարկ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հայտնելու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մասին</w:t>
      </w:r>
      <w:r w:rsidR="000D7BD5" w:rsidRPr="000D7BD5">
        <w:rPr>
          <w:rFonts w:ascii="Times Armenian" w:hAnsi="Times Armenian"/>
          <w:sz w:val="22"/>
          <w:szCs w:val="22"/>
        </w:rPr>
        <w:t xml:space="preserve">, </w:t>
      </w:r>
      <w:r w:rsidR="000D7BD5" w:rsidRPr="000D7BD5">
        <w:rPr>
          <w:sz w:val="22"/>
          <w:szCs w:val="22"/>
        </w:rPr>
        <w:t>քանի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որ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մեղադրանքի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վերաբերյալ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արդեն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ունի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կանխակալ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  <w:r w:rsidR="000D7BD5" w:rsidRPr="000D7BD5">
        <w:rPr>
          <w:sz w:val="22"/>
          <w:szCs w:val="22"/>
        </w:rPr>
        <w:t>կարծիք։</w:t>
      </w:r>
      <w:r w:rsidR="000D7BD5" w:rsidRPr="000D7BD5">
        <w:rPr>
          <w:rFonts w:ascii="Times Armenian" w:hAnsi="Times Armenian"/>
          <w:sz w:val="22"/>
          <w:szCs w:val="22"/>
        </w:rPr>
        <w:t xml:space="preserve"> </w:t>
      </w:r>
    </w:p>
    <w:p w14:paraId="74D0DE68" w14:textId="0F084D43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20" w:right="20"/>
        <w:rPr>
          <w:sz w:val="22"/>
          <w:szCs w:val="22"/>
        </w:rPr>
      </w:pPr>
      <w:r w:rsidRPr="000D7BD5">
        <w:rPr>
          <w:sz w:val="22"/>
          <w:szCs w:val="22"/>
        </w:rPr>
        <w:t>Ինչ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որոշում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պետք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է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կայացնի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դատավորը.</w:t>
      </w:r>
    </w:p>
    <w:p w14:paraId="0BF133E5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20" w:right="20"/>
        <w:rPr>
          <w:rFonts w:ascii="Times Armenian" w:hAnsi="Times Armenian"/>
          <w:sz w:val="22"/>
          <w:szCs w:val="22"/>
        </w:rPr>
      </w:pPr>
      <w:r w:rsidRPr="000D7BD5">
        <w:rPr>
          <w:sz w:val="22"/>
          <w:szCs w:val="22"/>
        </w:rPr>
        <w:t>ա</w:t>
      </w:r>
      <w:r w:rsidRPr="000D7BD5">
        <w:rPr>
          <w:rFonts w:ascii="Times Armenian" w:hAnsi="Times Armenian"/>
          <w:sz w:val="22"/>
          <w:szCs w:val="22"/>
        </w:rPr>
        <w:t xml:space="preserve">/ </w:t>
      </w:r>
      <w:r w:rsidRPr="000D7BD5">
        <w:rPr>
          <w:sz w:val="22"/>
          <w:szCs w:val="22"/>
        </w:rPr>
        <w:t>միջնորդությունը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մերժելու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 xml:space="preserve">, </w:t>
      </w:r>
      <w:r w:rsidRPr="000D7BD5">
        <w:rPr>
          <w:sz w:val="22"/>
          <w:szCs w:val="22"/>
        </w:rPr>
        <w:t>քանի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որ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մինչդատական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վարույթի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նկատմամբ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դատական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վերահսկողության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շրջանակներում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կայացված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դատական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ակտերը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նախադատելի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չեն</w:t>
      </w:r>
      <w:r w:rsidRPr="000D7BD5">
        <w:rPr>
          <w:rFonts w:ascii="Times Armenian" w:hAnsi="Times Armenian"/>
          <w:sz w:val="22"/>
          <w:szCs w:val="22"/>
        </w:rPr>
        <w:t>,</w:t>
      </w:r>
    </w:p>
    <w:p w14:paraId="3F609243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20" w:right="20"/>
        <w:rPr>
          <w:rFonts w:ascii="Times Armenian" w:hAnsi="Times Armenian"/>
          <w:sz w:val="22"/>
          <w:szCs w:val="22"/>
        </w:rPr>
      </w:pPr>
      <w:r w:rsidRPr="000D7BD5">
        <w:rPr>
          <w:sz w:val="22"/>
          <w:szCs w:val="22"/>
        </w:rPr>
        <w:t>բ</w:t>
      </w:r>
      <w:r w:rsidRPr="000D7BD5">
        <w:rPr>
          <w:rFonts w:ascii="Times Armenian" w:hAnsi="Times Armenian"/>
          <w:sz w:val="22"/>
          <w:szCs w:val="22"/>
        </w:rPr>
        <w:t xml:space="preserve">/ </w:t>
      </w:r>
      <w:r w:rsidRPr="000D7BD5">
        <w:rPr>
          <w:sz w:val="22"/>
          <w:szCs w:val="22"/>
        </w:rPr>
        <w:t>միջնորդությունը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մերժելու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 xml:space="preserve">, </w:t>
      </w:r>
      <w:r w:rsidRPr="000D7BD5">
        <w:rPr>
          <w:sz w:val="22"/>
          <w:szCs w:val="22"/>
        </w:rPr>
        <w:t>քանի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որ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դատավորները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քրեական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գործերը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և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նյութերը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լուծում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են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իրենց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ներքին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համոզմամբ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ներկայացված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ապացույցների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պատշաճ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հետազոտման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հիման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վրա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և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կաշկանդված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չեն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գործի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մինչդատական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վարույթում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արված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եզրահանգումներով</w:t>
      </w:r>
      <w:r w:rsidRPr="000D7BD5">
        <w:rPr>
          <w:rFonts w:ascii="Times Armenian" w:hAnsi="Times Armenian"/>
          <w:sz w:val="22"/>
          <w:szCs w:val="22"/>
        </w:rPr>
        <w:t>,</w:t>
      </w:r>
    </w:p>
    <w:p w14:paraId="76D7E569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rFonts w:ascii="Times Armenian" w:hAnsi="Times Armenian"/>
          <w:sz w:val="22"/>
          <w:szCs w:val="22"/>
        </w:rPr>
      </w:pPr>
      <w:r w:rsidRPr="000D7BD5">
        <w:rPr>
          <w:sz w:val="22"/>
          <w:szCs w:val="22"/>
        </w:rPr>
        <w:t>գ</w:t>
      </w:r>
      <w:r w:rsidRPr="000D7BD5">
        <w:rPr>
          <w:rFonts w:ascii="Times Armenian" w:hAnsi="Times Armenian"/>
          <w:sz w:val="22"/>
          <w:szCs w:val="22"/>
        </w:rPr>
        <w:t xml:space="preserve">/ </w:t>
      </w:r>
      <w:r w:rsidRPr="000D7BD5">
        <w:rPr>
          <w:sz w:val="22"/>
          <w:szCs w:val="22"/>
        </w:rPr>
        <w:t>միջնորդությունը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բավարարելու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և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ինքնաբացարկ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հայտնելու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 xml:space="preserve">, </w:t>
      </w:r>
      <w:r w:rsidRPr="000D7BD5">
        <w:rPr>
          <w:sz w:val="22"/>
          <w:szCs w:val="22"/>
        </w:rPr>
        <w:t>քանի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որ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դատավորն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արդեն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իսկ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մասնակցել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է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տվյալ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գործի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քննությանը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այլ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վարույթի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շրջանակներում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և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ունի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կանխակալ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կարծիք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մեղադրանքի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>,</w:t>
      </w:r>
    </w:p>
    <w:p w14:paraId="1F82945D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rFonts w:ascii="Times Armenian" w:hAnsi="Times Armenian"/>
          <w:sz w:val="22"/>
          <w:szCs w:val="22"/>
        </w:rPr>
      </w:pPr>
      <w:r w:rsidRPr="000D7BD5">
        <w:rPr>
          <w:sz w:val="22"/>
          <w:szCs w:val="22"/>
        </w:rPr>
        <w:t>դ</w:t>
      </w:r>
      <w:r w:rsidRPr="000D7BD5">
        <w:rPr>
          <w:rFonts w:ascii="Times Armenian" w:hAnsi="Times Armenian"/>
          <w:sz w:val="22"/>
          <w:szCs w:val="22"/>
        </w:rPr>
        <w:t xml:space="preserve">/ </w:t>
      </w:r>
      <w:r w:rsidRPr="000D7BD5">
        <w:rPr>
          <w:sz w:val="22"/>
          <w:szCs w:val="22"/>
        </w:rPr>
        <w:t>միջնորդությունը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մերժելու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մասին</w:t>
      </w:r>
      <w:r w:rsidRPr="000D7BD5">
        <w:rPr>
          <w:rFonts w:ascii="Times Armenian" w:hAnsi="Times Armenian"/>
          <w:sz w:val="22"/>
          <w:szCs w:val="22"/>
        </w:rPr>
        <w:t xml:space="preserve">, </w:t>
      </w:r>
      <w:r w:rsidRPr="000D7BD5">
        <w:rPr>
          <w:sz w:val="22"/>
          <w:szCs w:val="22"/>
        </w:rPr>
        <w:t>քանի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որ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օրենքով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ինքնաբացարկ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հայտնելու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նման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հիմք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առկա</w:t>
      </w:r>
      <w:r w:rsidRPr="000D7BD5">
        <w:rPr>
          <w:rFonts w:ascii="Times Armenian" w:hAnsi="Times Armenian"/>
          <w:sz w:val="22"/>
          <w:szCs w:val="22"/>
        </w:rPr>
        <w:t xml:space="preserve"> </w:t>
      </w:r>
      <w:r w:rsidRPr="000D7BD5">
        <w:rPr>
          <w:sz w:val="22"/>
          <w:szCs w:val="22"/>
        </w:rPr>
        <w:t>չէ։</w:t>
      </w:r>
    </w:p>
    <w:p w14:paraId="5A6AD0EF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sz w:val="22"/>
          <w:szCs w:val="22"/>
        </w:rPr>
      </w:pPr>
    </w:p>
    <w:p w14:paraId="445A1FDC" w14:textId="1AA4A45A" w:rsidR="000D7BD5" w:rsidRPr="000D7BD5" w:rsidRDefault="0083202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rFonts w:ascii="Times Armenian" w:hAnsi="Times Armenian"/>
          <w:sz w:val="22"/>
          <w:szCs w:val="22"/>
        </w:rPr>
      </w:pPr>
      <w:r w:rsidRPr="00832025">
        <w:rPr>
          <w:b/>
          <w:bCs/>
          <w:sz w:val="22"/>
          <w:szCs w:val="22"/>
          <w:lang w:val="hy-AM"/>
        </w:rPr>
        <w:t>2․</w:t>
      </w:r>
      <w:r>
        <w:rPr>
          <w:sz w:val="22"/>
          <w:szCs w:val="22"/>
          <w:lang w:val="hy-AM"/>
        </w:rPr>
        <w:t xml:space="preserve"> </w:t>
      </w:r>
      <w:r w:rsidR="000D7BD5" w:rsidRPr="000D7BD5">
        <w:rPr>
          <w:sz w:val="22"/>
          <w:szCs w:val="22"/>
        </w:rPr>
        <w:t>Անձը ենթակա է քրեական պատասխանատվության՝</w:t>
      </w:r>
    </w:p>
    <w:p w14:paraId="50850AA5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rFonts w:ascii="Sylfaen" w:hAnsi="Sylfaen"/>
          <w:sz w:val="22"/>
          <w:szCs w:val="22"/>
        </w:rPr>
      </w:pPr>
      <w:r w:rsidRPr="000D7BD5">
        <w:rPr>
          <w:sz w:val="22"/>
          <w:szCs w:val="22"/>
        </w:rPr>
        <w:t xml:space="preserve">ա) իր և իր անչափահաս երեխայի կատարած հանցանքի համար </w:t>
      </w:r>
    </w:p>
    <w:p w14:paraId="1AF63FF9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sz w:val="22"/>
          <w:szCs w:val="22"/>
        </w:rPr>
      </w:pPr>
      <w:r w:rsidRPr="000D7BD5">
        <w:rPr>
          <w:sz w:val="22"/>
          <w:szCs w:val="22"/>
        </w:rPr>
        <w:t>բ) իր և իր խնամակալության տակ գտնվող անձանց կատարած հանցանքի համար</w:t>
      </w:r>
    </w:p>
    <w:p w14:paraId="7400F9BD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sz w:val="22"/>
          <w:szCs w:val="22"/>
        </w:rPr>
      </w:pPr>
      <w:r w:rsidRPr="000D7BD5">
        <w:rPr>
          <w:sz w:val="22"/>
          <w:szCs w:val="22"/>
        </w:rPr>
        <w:t>գ) միայն անձամբ իր կատարած հանցանքի համար</w:t>
      </w:r>
    </w:p>
    <w:p w14:paraId="6479B009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sz w:val="22"/>
          <w:szCs w:val="22"/>
        </w:rPr>
      </w:pPr>
      <w:r w:rsidRPr="000D7BD5">
        <w:rPr>
          <w:sz w:val="22"/>
          <w:szCs w:val="22"/>
        </w:rPr>
        <w:t>դ) իր, իր խնամակալության տակ գտնվող և իր հոգաբարձության ներքո գտնվող</w:t>
      </w:r>
    </w:p>
    <w:p w14:paraId="10CB2DFD" w14:textId="03AC279D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14" w:firstLine="562"/>
        <w:rPr>
          <w:rFonts w:ascii="Sylfaen" w:hAnsi="Sylfaen"/>
          <w:sz w:val="22"/>
          <w:szCs w:val="22"/>
        </w:rPr>
      </w:pPr>
      <w:r w:rsidRPr="000D7BD5">
        <w:rPr>
          <w:sz w:val="22"/>
          <w:szCs w:val="22"/>
        </w:rPr>
        <w:t>անձանց կատարած հանցանքի համար:</w:t>
      </w:r>
    </w:p>
    <w:p w14:paraId="5DB003B9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14" w:right="20" w:firstLine="562"/>
        <w:rPr>
          <w:rFonts w:ascii="Sylfaen" w:hAnsi="Sylfaen"/>
          <w:spacing w:val="10"/>
          <w:sz w:val="22"/>
          <w:szCs w:val="22"/>
        </w:rPr>
      </w:pPr>
    </w:p>
    <w:p w14:paraId="448BAE9E" w14:textId="1C4B2D98" w:rsidR="000D7BD5" w:rsidRPr="000D7BD5" w:rsidRDefault="00832025" w:rsidP="000D7BD5">
      <w:pPr>
        <w:pStyle w:val="a0"/>
        <w:shd w:val="clear" w:color="auto" w:fill="auto"/>
        <w:spacing w:after="0" w:line="360" w:lineRule="auto"/>
        <w:ind w:left="20" w:right="20"/>
        <w:rPr>
          <w:rFonts w:ascii="Sylfaen" w:hAnsi="Sylfaen"/>
          <w:spacing w:val="10"/>
          <w:sz w:val="22"/>
          <w:szCs w:val="22"/>
        </w:rPr>
      </w:pPr>
      <w:r w:rsidRPr="00832025">
        <w:rPr>
          <w:b/>
          <w:bCs/>
          <w:spacing w:val="10"/>
          <w:sz w:val="22"/>
          <w:szCs w:val="22"/>
          <w:lang w:val="hy-AM"/>
        </w:rPr>
        <w:t>3․</w:t>
      </w:r>
      <w:r>
        <w:rPr>
          <w:spacing w:val="10"/>
          <w:sz w:val="22"/>
          <w:szCs w:val="22"/>
          <w:lang w:val="hy-AM"/>
        </w:rPr>
        <w:t xml:space="preserve"> </w:t>
      </w:r>
      <w:r w:rsidR="000D7BD5" w:rsidRPr="000D7BD5">
        <w:rPr>
          <w:spacing w:val="10"/>
          <w:sz w:val="22"/>
          <w:szCs w:val="22"/>
        </w:rPr>
        <w:t xml:space="preserve">2003 թվականի հունվարին ծնված Կ-ն 2016 թվականի հոկտեմբերին և 2017 թվականի փետրվարին մեկ միասնական դիտավորությամբ կատարել է գույքի գաղտնի հափշտակություն՝ ընդհանուրը 3.400.000 (երեք միլիոն չորս հարյուր հազար) ՀՀ դրամի չափով։ Նախաքննությամբ պարզվել է, որ յուրաքանչյուր անգամ Կ-ն հափշտակել է 1.700.000 (մեկ միլիոն յոթ հարյուր հազար) ՀՀ դրամ արժողությամբ գույք։ </w:t>
      </w:r>
    </w:p>
    <w:p w14:paraId="3DB6B825" w14:textId="77777777" w:rsidR="000D7BD5" w:rsidRPr="000D7BD5" w:rsidRDefault="000D7BD5" w:rsidP="000D7BD5">
      <w:pPr>
        <w:pStyle w:val="a0"/>
        <w:shd w:val="clear" w:color="auto" w:fill="auto"/>
        <w:spacing w:after="0" w:line="360" w:lineRule="auto"/>
        <w:ind w:left="20" w:right="20"/>
        <w:rPr>
          <w:spacing w:val="10"/>
          <w:sz w:val="22"/>
          <w:szCs w:val="22"/>
        </w:rPr>
      </w:pPr>
      <w:r w:rsidRPr="000D7BD5">
        <w:rPr>
          <w:spacing w:val="10"/>
          <w:sz w:val="22"/>
          <w:szCs w:val="22"/>
        </w:rPr>
        <w:t>Ինչպե՞ս պետք է որակվի Կ-ի արարք(ներ)ը</w:t>
      </w:r>
    </w:p>
    <w:p w14:paraId="25C327A1" w14:textId="77777777" w:rsidR="000D7BD5" w:rsidRPr="000D7BD5" w:rsidRDefault="000D7BD5" w:rsidP="000D7BD5">
      <w:pPr>
        <w:pStyle w:val="50"/>
        <w:shd w:val="clear" w:color="auto" w:fill="auto"/>
        <w:spacing w:line="360" w:lineRule="auto"/>
        <w:ind w:left="560"/>
        <w:rPr>
          <w:sz w:val="22"/>
          <w:szCs w:val="22"/>
        </w:rPr>
      </w:pPr>
      <w:r w:rsidRPr="000D7BD5">
        <w:rPr>
          <w:sz w:val="22"/>
          <w:szCs w:val="22"/>
        </w:rPr>
        <w:t>ա) խոշոր չափերով գողություն,</w:t>
      </w:r>
    </w:p>
    <w:p w14:paraId="4AD40A34" w14:textId="77777777" w:rsidR="000D7BD5" w:rsidRPr="000D7BD5" w:rsidRDefault="000D7BD5" w:rsidP="000D7BD5">
      <w:pPr>
        <w:pStyle w:val="40"/>
        <w:shd w:val="clear" w:color="auto" w:fill="auto"/>
        <w:spacing w:after="0" w:line="360" w:lineRule="auto"/>
        <w:ind w:left="560" w:right="40"/>
        <w:rPr>
          <w:rFonts w:ascii="Sylfaen" w:hAnsi="Sylfaen"/>
        </w:rPr>
      </w:pPr>
      <w:r w:rsidRPr="000D7BD5">
        <w:t xml:space="preserve">բ) առանձնապես խոշոր չափերով գողություն, </w:t>
      </w:r>
    </w:p>
    <w:p w14:paraId="43984801" w14:textId="77777777" w:rsidR="000D7BD5" w:rsidRPr="000D7BD5" w:rsidRDefault="000D7BD5" w:rsidP="000D7BD5">
      <w:pPr>
        <w:pStyle w:val="40"/>
        <w:shd w:val="clear" w:color="auto" w:fill="auto"/>
        <w:spacing w:after="0" w:line="360" w:lineRule="auto"/>
        <w:ind w:left="560" w:right="40"/>
      </w:pPr>
      <w:r w:rsidRPr="000D7BD5">
        <w:t>գ) առանձնապես խոշոր չափերով գողության փորձ,</w:t>
      </w:r>
    </w:p>
    <w:p w14:paraId="6A02B2E9" w14:textId="17924C60" w:rsidR="00475B1F" w:rsidRPr="000D7BD5" w:rsidRDefault="000D7BD5" w:rsidP="000D7BD5">
      <w:pPr>
        <w:pStyle w:val="40"/>
        <w:shd w:val="clear" w:color="auto" w:fill="auto"/>
        <w:spacing w:after="0" w:line="360" w:lineRule="auto"/>
        <w:ind w:left="560"/>
      </w:pPr>
      <w:r w:rsidRPr="000D7BD5">
        <w:t>դ) երկու դրվագ խոշոր չափերով գողություն՝ հանցանքների համակցությամբ։</w:t>
      </w:r>
    </w:p>
    <w:sectPr w:rsidR="00475B1F" w:rsidRPr="000D7BD5" w:rsidSect="000D7BD5">
      <w:headerReference w:type="default" r:id="rId4"/>
      <w:pgSz w:w="11905" w:h="16837"/>
      <w:pgMar w:top="630" w:right="1585" w:bottom="540" w:left="117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33F9" w14:textId="77777777" w:rsidR="00993527" w:rsidRDefault="008320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AB"/>
    <w:rsid w:val="000D7BD5"/>
    <w:rsid w:val="00475B1F"/>
    <w:rsid w:val="00832025"/>
    <w:rsid w:val="0096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A422"/>
  <w15:chartTrackingRefBased/>
  <w15:docId w15:val="{CFDAC4AE-C95D-49D4-BE0B-C1567D6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0D7BD5"/>
    <w:rPr>
      <w:rFonts w:ascii="Trebuchet MS" w:eastAsia="Trebuchet MS" w:hAnsi="Trebuchet MS" w:cs="Trebuchet MS"/>
      <w:shd w:val="clear" w:color="auto" w:fill="FFFFFF"/>
    </w:rPr>
  </w:style>
  <w:style w:type="character" w:customStyle="1" w:styleId="a">
    <w:name w:val="Основной текст_"/>
    <w:basedOn w:val="DefaultParagraphFont"/>
    <w:link w:val="a0"/>
    <w:rsid w:val="000D7B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0D7BD5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0D7BD5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D7BD5"/>
    <w:pPr>
      <w:shd w:val="clear" w:color="auto" w:fill="FFFFFF"/>
      <w:spacing w:after="0" w:line="356" w:lineRule="exact"/>
      <w:ind w:firstLine="620"/>
      <w:jc w:val="both"/>
    </w:pPr>
    <w:rPr>
      <w:rFonts w:ascii="Trebuchet MS" w:eastAsia="Trebuchet MS" w:hAnsi="Trebuchet MS" w:cs="Trebuchet MS"/>
    </w:rPr>
  </w:style>
  <w:style w:type="paragraph" w:customStyle="1" w:styleId="a0">
    <w:name w:val="Основной текст"/>
    <w:basedOn w:val="Normal"/>
    <w:link w:val="a"/>
    <w:rsid w:val="000D7BD5"/>
    <w:pPr>
      <w:shd w:val="clear" w:color="auto" w:fill="FFFFFF"/>
      <w:spacing w:after="420" w:line="0" w:lineRule="atLeas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Normal"/>
    <w:link w:val="4"/>
    <w:rsid w:val="000D7BD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Normal"/>
    <w:link w:val="5"/>
    <w:rsid w:val="000D7BD5"/>
    <w:pPr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2021-10-26T08:53:00Z</dcterms:created>
  <dcterms:modified xsi:type="dcterms:W3CDTF">2021-10-26T08:56:00Z</dcterms:modified>
</cp:coreProperties>
</file>